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การขอใบอนุญาตประกอบกิจการที่เป็นอันตรายต่อสุขภาพ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ผู้ใดประสงค์ขอใบอนุญาตประกอบกิจการที่เป็นอันตรายต่อสุขภาพในแต่ละประเภทกิจการ (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)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กลุ่ม/กอง/ฝ่าย ที่รับผิดชอบ (ระบุ)</w:t>
        <w:br/>
        <w:t xml:space="preserve"/>
        <w:br/>
        <w:t xml:space="preserve"> 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 (2) สำเนาใบอนุญาต หรือเอกสารหลักฐานตามกฎหมายอื่นที่เกี่ยวข้องตามประเภทกิจการที่ขออนุญาต</w:t>
        <w:br/>
        <w:t xml:space="preserve"/>
        <w:br/>
        <w:t xml:space="preserve"> (3) สภาพสุขลักษณะของสถานประกอบกิจการแต่ละประเภทกิจการต้องถูกต้องตามหลักเกณฑ์</w:t>
        <w:br/>
        <w:t xml:space="preserve"/>
        <w:br/>
        <w:t xml:space="preserve">  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ผู้ขอรับใบอนุญาตยื่นคำขอรับใบอนุญาตประกอบกิจการที่เป็นอันตรายต่อสุขภาพ (แต่ละประเภทกิจการ)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(1. ระยะเวลาให้บริการ ส่วนงาน/หน่วยงานที่รับผิดชอบ </w:t>
              <w:br/>
              <w:t xml:space="preserve">ให้ระบุไปตามบริบทของท้องถิ่น</w:t>
              <w:br/>
              <w:t xml:space="preserve"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(1. ระยะเวลาให้บริการ ส่วนงาน/หน่วยงานที่รับผิดชอบ </w:t>
              <w:br/>
              <w:t xml:space="preserve">ให้ระบุไปตามบริบทของท้องถิ่น</w:t>
              <w:br/>
              <w:t xml:space="preserve">2. หากผู้ขอใบอนุญาตไม่แก้ไขคำขอหรือไม่ส่งเอกสารเพิ่มเติมให้ครบถ้วน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(อุทธรณ์ตาม พ.ร.บ. วิธีปฏิบัติราชการทางปกครอง พ.ศ. 2539)</w:t>
              <w:br/>
              <w:t xml:space="preserve"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   </w:t>
              <w:br/>
              <w:t xml:space="preserve">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2. กรณีไม่อนุญาต</w:t>
              <w:br/>
              <w:t xml:space="preserve">        แจ้งคำสั่งไม่ออกใบอนุญาตประกอบกิจการที่เป็นอันตรายต่อสุขภาพ (ในแต่ละประเภทกิจการ) แก่ผู้ขออนุญาตทราบ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(ตามประเภทกิจการที่เป็นอันตรายต่อสุขภาพที่มีข้อกำหนดของท้องถิ่น)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(1. ระยะเวลาให้บริการ ส่วนงาน/หน่วยงานที่รับผิดชอบ </w:t>
              <w:br/>
              <w:t xml:space="preserve">ให้ระบุไปตามบริบทของท้องถิ่น</w:t>
              <w:br/>
              <w:t xml:space="preserve">2. กรณีไม่ชำระตามระยะเวลาที่กำหนด จะต้องเสียค่าปรับเพิ่มขึ้นอีกร้อยละ 20 ของจำนวนเงินที่ค้างชำระ)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ใบมอบอำนาจ (ในกรณีที่มีการมอบอำนาจ)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สำเนาเอกสารสิทธิ์ หรือสัญญาเช่า หรือสิทธิอื่นใด 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สำเนาใบอนุญาตตามกฎหมายอื่นที่เกี่ยวข้องในแต่ละประเภทกิจการ เช่น ใบอนุญาตตาม พ.ร.บ. โรงงาน พ.ศ. 2535  พ.ร.บ. ควบคุมอาคาร พ.ศ. 2522 พ.ร.บ. โรงแรม พ.ศ. 2547 พ.ร.บ. การเดินเรือในน่านน้ำไทย พ.ศ. 2546 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(EIA) รายงานการประเมินผลกระทบต่อสุขภาพ (HIA)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ผลการตรวจวัดคุณภาพด้านสิ่งแวดล้อม (ในแต่ละประเภทกิจการที่กำหนด)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ใบรับรองแพทย์และหลักฐานแสดงว่าผ่านการอบรมเรื่องสุขาภิบาลอาหาร (กรณียื่นขออนุญาตกิจการที่เกี่ยวข้องกับอาหาร)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อัตราค่าธรรมเนียมใบอนุญาตประกอบกิจการที่เป็นอันตรายต่อสุขภาพ ฉบับละไม่เกิน 10,000 บาทต่อปี (คิดตามประเภทและขนาดของกิจการ)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การขอใบอนุญาตประกอบกิจการที่เป็นอันตรายต่อสุขภาพ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กฎกระทรวงกำหนดหลักเกณฑ์ วิธีการ และมาตรการในการควบคุมสถานประกอบกิจการที่เป็นอันตรายต่อสุขภาพ พ.ศ. 2545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การขอใบอนุญาตประกอบกิจการที่เป็นอันตรายต่อสุขภาพ เทศบาลเมืองบัวใหญ่ ยุทธจักร สำเนาคู่มือประชาชน 30/09/2015 15:01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