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การขออนุญาตเปิดประกอบกิจการหลังการปรับปรุงแก้ไขโรงงาน (ส่วนภูมิภาค)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/>
        <w:br/>
        <w:t xml:space="preserve"/>
        <w:tab/>
        <w:t xml:space="preserve">เป็นโรงงานที่ได้รับคำสั่งให้หยุดประกอบกิจการโรงงานทั้งหมดหรือบางส่วนเป็นการชั่วคราว</w:t>
        <w:br/>
        <w:t xml:space="preserve"/>
        <w:tab/>
        <w:t xml:space="preserve">ต้องแจ้งเป็นหนังสือว่าได้ปรับปรุงแก้ไขโรงงานหรือปฏิบัติให้ถูกต้องก่อนหรือภายในระยะเวลาที่กำหนด หรือภายในระยะเวลาที่ได้รับอนุญาตให้ขยายระยะเวลา</w:t>
        <w:br/>
        <w:t xml:space="preserve"/>
        <w:tab/>
        <w:t xml:space="preserve">ขั้นตอนการดำเนินงานตามคู่มือจะเริ่มนับระยะเวลาตั้งแต่พนักงานเจ้าหน้าที่ตรวจสอบเอกสารครบถ้วนตามที่ระบุไว้ในคู่มือสำหรับประชาชนเรียบร้อยแล้ว</w:t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23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พนักงานเจ้าหน้าที่ตรวจสอบความครบถ้วนของเอกสารตามรายการเอกสารหลักฐานประกอบ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พนักงานเจ้าหน้าที่พิจารณาตรวจสอบข้อเท็จจริง ณ สถานประกอบกิจการ</w:t>
              <w:br/>
              <w:t xml:space="preserve">- กรณีพบว่าปฏิบัติตามคำสั่งจะมีคำสั่งเป็นหนังสืออนุญาตให้เปิดประกอบกิจการโรงงาน</w:t>
              <w:br/>
              <w:t xml:space="preserve">- กรณีพบว่าไม่ปฏิบัติตามคำสั่งจะดำเนินการตามกฎหมาย หรือ มีคำสั่งปิดโรงงาน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ผู้ที่ได้รับมอบหมายจากปลัดกระทรวงอุตสาหกรรมพิจารณาลงนามคำสั่ง และแจ้งผลการพิจารณาอนุญาตให้ผู้ขออนุญาตทราบ ภายใน 7 วัน นับแต่วันที่พิจารณาแล้วเสร็จ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7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((- ของผู้ขออนุญาต/ผู้แทนนิติบุคคล (กรณีผู้ขออนุญาตเป็นนิติบุคคล)</w:t>
              <w:br/>
              <w:t xml:space="preserve">- ของผู้มอบอำนาจ/ผู้รับมอบอำนาจ</w:t>
              <w:br/>
              <w:t xml:space="preserve">- ของพยาน 2 คน</w:t>
              <w:br/>
              <w:t xml:space="preserve">- ของเจ้าของที่ดิน กรณีผู้ขออนุญาตไม่ใช่เจ้าของที่ดิน</w:t>
              <w:br/>
              <w:t xml:space="preserve">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กรณีผู้ขออนุญาตเป็นบุคคลต่างด้าว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กรมการกงสุล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ใบสำคัญการเปลี่ยนชื่อ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กรณีมีการเปลี่ยนชื่อตัวหรือชื่อสกุล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ซึ่งออกให้ไม่เกิน 3 เดือน นับจากวันที่ยื่นคำขอ และลงนามรับรองสำเนาถูกต้องโดยผู้มีอำนาจลงนามผูกพันนิติบุคคลตามหนังสือรับรองทุกหน้า</w:t>
              <w:br/>
              <w:t xml:space="preserve">– โดยต้องมีวัตถุประสงค์ของนิติบุคคลตรงกับประเภทของกิจการโรงงาน (กรณีผู้ขออนุญาตเป็นนิติบุคคล))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หนังสือมอบอำนาจพร้อมติดอากรแสตมป์ (ถ้ามี)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(กรณีไม่อาจมอบฉบับจริงได้ ต้องเอาฉบับจริงมาให้พนักงานเจ้าหน้าที่ตรวจสอบ และมอบสำเนาที่มีการลงนามรับรองสำเนาถูกต้องโดยผู้ขออนุญาตทุกหน้า)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กรมโรงงานอุตสาหกรรม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หนังสือแจ้งผลการปรับปรุงแก้ไขโรงงานหรือได้ปฏิบัติถูกต้องตามคำสั่งเรียบร้อยแล้ว กรณีมีเอกสารที่เกี่ยวข้องกับการแก้ไขโรงงานหรือการปฏิบัติที่ถูกต้องตามคำสั่ง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ไม่มีค่าธรรมเนียม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หนังสือมอบอำนาจให้ดำเนินการตามพระราชบัญญัติโรงงาน พ.ศ. 2535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การขออนุญาตเปิดประกอบกิจการหลังการปรับปรุงแก้ไขโรงงาน (ส่วนภูมิภาค)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สำนักงานปลัดกระทรวงอุตสาหกรรม สำนักงานปลัดกระทรวงอุตสาหกรรม สำนักงานปลัดกระทรวงอุตสาหกรรม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พระราชบัญญัติโรงงาน พ.ศ. 2535 มาตรา 39 วรรคสอง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ส่วนกลาง, 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การขออนุญาตเปิดประกอบกิจการหลังการปรับปรุงแก้ไขโรงงาน (ส่วนภูมิภาค) เทศบาลเมืองบัวใหญ่ ยุทธจักร สำเนาคู่มือประชาชน 30/09/2015 18:50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